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448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45"/>
          <w:szCs w:val="45"/>
          <w:shd w:val="clear" w:color="auto" w:fill="fcfcfc"/>
          <w:rtl w:val="0"/>
        </w:rPr>
      </w:pPr>
      <w:r>
        <w:rPr>
          <w:rFonts w:ascii="Helvetica" w:hAnsi="Helvetica"/>
          <w:b w:val="1"/>
          <w:bCs w:val="1"/>
          <w:sz w:val="45"/>
          <w:szCs w:val="45"/>
          <w:shd w:val="clear" w:color="auto" w:fill="fcfcfc"/>
          <w:rtl w:val="0"/>
          <w:lang w:val="it-IT"/>
        </w:rPr>
        <w:t>Supporto Tecnico-Giuridico al Responsabile per la Transizione al Digitale (RTD)</w:t>
      </w:r>
    </w:p>
    <w:p>
      <w:pPr>
        <w:pStyle w:val="Di 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Inquadramento normativo</w:t>
      </w:r>
    </w:p>
    <w:p>
      <w:pPr>
        <w:pStyle w:val="Di default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Il </w:t>
      </w:r>
      <w:r>
        <w:rPr>
          <w:rFonts w:ascii="Times Roman" w:hAnsi="Times Roman"/>
          <w:b w:val="1"/>
          <w:bCs w:val="1"/>
          <w:rtl w:val="0"/>
          <w:lang w:val="pt-PT"/>
        </w:rPr>
        <w:t>Decreto Legislativo 82/2005</w:t>
      </w:r>
      <w:r>
        <w:rPr>
          <w:rFonts w:ascii="Times Roman" w:hAnsi="Times Roman"/>
          <w:rtl w:val="0"/>
        </w:rPr>
        <w:t xml:space="preserve"> (</w:t>
      </w:r>
      <w:r>
        <w:rPr>
          <w:rFonts w:ascii="Times Roman" w:hAnsi="Times Roman"/>
          <w:i w:val="1"/>
          <w:iCs w:val="1"/>
          <w:rtl w:val="0"/>
          <w:lang w:val="it-IT"/>
        </w:rPr>
        <w:t>Codice dell</w:t>
      </w:r>
      <w:r>
        <w:rPr>
          <w:rFonts w:ascii="Times Roman" w:hAnsi="Times Roman" w:hint="default"/>
          <w:i w:val="1"/>
          <w:iCs w:val="1"/>
          <w:rtl w:val="1"/>
        </w:rPr>
        <w:t>’</w:t>
      </w:r>
      <w:r>
        <w:rPr>
          <w:rFonts w:ascii="Times Roman" w:hAnsi="Times Roman"/>
          <w:i w:val="1"/>
          <w:iCs w:val="1"/>
          <w:rtl w:val="0"/>
          <w:lang w:val="it-IT"/>
        </w:rPr>
        <w:t>Amministrazione Digitale</w:t>
      </w:r>
      <w:r>
        <w:rPr>
          <w:rFonts w:ascii="Times Roman" w:hAnsi="Times Roman"/>
          <w:rtl w:val="0"/>
          <w:lang w:val="it-IT"/>
        </w:rPr>
        <w:t xml:space="preserve"> - CAD) attribuisce al </w:t>
      </w:r>
      <w:r>
        <w:rPr>
          <w:rFonts w:ascii="Times Roman" w:hAnsi="Times Roman"/>
          <w:i w:val="1"/>
          <w:iCs w:val="1"/>
          <w:rtl w:val="0"/>
          <w:lang w:val="it-IT"/>
        </w:rPr>
        <w:t>Responsabile per la Transizione al Digitale</w:t>
      </w:r>
      <w:r>
        <w:rPr>
          <w:rFonts w:ascii="Times Roman" w:hAnsi="Times Roman"/>
          <w:rtl w:val="0"/>
          <w:lang w:val="it-IT"/>
        </w:rPr>
        <w:t xml:space="preserve"> (RTD) il compito di coordinare la trasformazione digitale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amministrazione, garantendo la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a obblighi normativi, standard tecnici e direttive nazionali (Art. 17 CAD). Il RTD deve assicurare: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lo sviluppo dei servizi digitali,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interoperabilit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e la sicurezza informatica,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accessibilit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,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0"/>
          <w:bCs w:val="0"/>
          <w:rtl w:val="0"/>
        </w:rPr>
        <w:t>l</w:t>
      </w:r>
      <w:r>
        <w:rPr>
          <w:rFonts w:ascii="Times Roman" w:hAnsi="Times Roman" w:hint="default"/>
          <w:b w:val="0"/>
          <w:bCs w:val="0"/>
          <w:rtl w:val="1"/>
        </w:rPr>
        <w:t>’</w:t>
      </w:r>
      <w:r>
        <w:rPr>
          <w:rFonts w:ascii="Times Roman" w:hAnsi="Times Roman"/>
          <w:b w:val="0"/>
          <w:bCs w:val="0"/>
          <w:rtl w:val="0"/>
          <w:lang w:val="it-IT"/>
        </w:rPr>
        <w:t xml:space="preserve">allineamento al </w:t>
      </w:r>
      <w:r>
        <w:rPr>
          <w:rFonts w:ascii="Times Roman" w:hAnsi="Times Roman"/>
          <w:b w:val="1"/>
          <w:bCs w:val="1"/>
          <w:rtl w:val="0"/>
          <w:lang w:val="it-IT"/>
        </w:rPr>
        <w:t>Piano Triennale per l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Informatica nella PA</w:t>
      </w:r>
      <w:r>
        <w:rPr>
          <w:rFonts w:ascii="Times Roman" w:hAnsi="Times Roman"/>
          <w:b w:val="0"/>
          <w:bCs w:val="0"/>
          <w:rtl w:val="0"/>
        </w:rPr>
        <w:t>,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la corretta gestione di identit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digitali e firme elettroniche.</w:t>
      </w:r>
    </w:p>
    <w:p>
      <w:pPr>
        <w:pStyle w:val="Di default"/>
        <w:tabs>
          <w:tab w:val="left" w:pos="220"/>
          <w:tab w:val="left" w:pos="720"/>
        </w:tabs>
        <w:bidi w:val="0"/>
        <w:spacing w:before="0" w:after="240" w:line="240" w:lineRule="auto"/>
        <w:ind w:left="720" w:right="0" w:hanging="72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after="384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Obiettivo del Servizio</w:t>
      </w:r>
    </w:p>
    <w:p>
      <w:pPr>
        <w:pStyle w:val="Di default"/>
        <w:bidi w:val="0"/>
        <w:spacing w:before="0" w:after="595"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  <w:lang w:val="it-IT"/>
        </w:rPr>
        <w:t>Affiancare il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Responsabile per la Transizione al Digitale (RTD)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  <w:lang w:val="it-IT"/>
        </w:rPr>
        <w:t>della vostra organizzazione con un servizio di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supporto tecnico-giuridico continuo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  <w:lang w:val="it-IT"/>
        </w:rPr>
        <w:t>, finalizzato a garantire la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pt-PT"/>
        </w:rPr>
        <w:t>conformit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agli obblighi normativi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  <w:lang w:val="it-IT"/>
        </w:rPr>
        <w:t>previsti dal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Codice dell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Amministrazione Digitale (CAD)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  <w:lang w:val="it-IT"/>
        </w:rPr>
        <w:t>e a promuovere un percorso di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digitalizzazione efficace, strutturato e sostenibile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4f4f4"/>
          <w:rtl w:val="0"/>
        </w:rPr>
      </w:pPr>
    </w:p>
    <w:p>
      <w:pPr>
        <w:pStyle w:val="Di default"/>
        <w:bidi w:val="0"/>
        <w:spacing w:before="0" w:after="384"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Attivit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Previste</w:t>
      </w:r>
    </w:p>
    <w:p>
      <w:pPr>
        <w:pStyle w:val="Di default"/>
        <w:bidi w:val="0"/>
        <w:spacing w:before="0" w:after="595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Il servizio copre tutte le aree strategiche indicate dall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Art. 17 del CAD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, attraverso un affiancamento operativo e consulenziale che comprende: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Formazione mirata all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</w:rPr>
        <w:t>RTD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: introduzione ai compiti, responsabilit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e strumenti normativi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Analisi dello stato attuale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: valutazione dell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1"/>
        </w:rPr>
        <w:t>’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infrastruttura IT, sito, servizi digitali e adempimenti gi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svolti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Gestione delle scadenze imminenti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: supporto per obblighi urgenti (es. dichiarazione di accessibilit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à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en-US"/>
        </w:rPr>
        <w:t>, WAI)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Affiancamento continuativo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: supporto telefonico e in teleassistenza per tutta la durata del contratto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4f4f4"/>
          <w:rtl w:val="0"/>
        </w:rPr>
      </w:pPr>
    </w:p>
    <w:p>
      <w:pPr>
        <w:pStyle w:val="Di default"/>
        <w:bidi w:val="0"/>
        <w:spacing w:before="0" w:after="384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cfcfc"/>
          <w:rtl w:val="0"/>
        </w:rPr>
      </w:pPr>
    </w:p>
    <w:p>
      <w:pPr>
        <w:pStyle w:val="Di default"/>
        <w:bidi w:val="0"/>
        <w:spacing w:before="0" w:after="384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cfcfc"/>
          <w:rtl w:val="0"/>
        </w:rPr>
      </w:pPr>
    </w:p>
    <w:p>
      <w:pPr>
        <w:pStyle w:val="Di default"/>
        <w:bidi w:val="0"/>
        <w:spacing w:before="0" w:after="384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Aree di Intervento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Coordinamento strategico IT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con gli standard tecnici e organizzativi nazionali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Indirizzo e sviluppo dei servizi informativi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  <w:lang w:val="it-IT"/>
        </w:rPr>
        <w:t>interni ed esterni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Sicurezza informatica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: pianificazione, gestione e monitoraggio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Accessibilit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</w:rPr>
        <w:t>digitale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: strumenti e contenuti inclusivi per tutti gli utenti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Analisi coerenza organizzativa-ICT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per efficienza e qualit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dei servizi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Riorganizzazione processi interni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  <w:lang w:val="it-IT"/>
        </w:rPr>
        <w:t>e cooperazione applicativa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Pianificazione e gestione dei sistemi informativi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Progettazione servizi in rete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per una PA digitale efficiente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Attuazione delle direttive di innovazione digitale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Diffusione dell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identit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digitale, PEC e firma elettronica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Coordinamento degli acquisti IT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nel rispetto del Piano Triennale ICT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4f4f4"/>
          <w:rtl w:val="0"/>
        </w:rPr>
      </w:pPr>
    </w:p>
    <w:p>
      <w:pPr>
        <w:pStyle w:val="Di default"/>
        <w:bidi w:val="0"/>
        <w:spacing w:before="0" w:after="384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cfcfc"/>
          <w:rtl w:val="0"/>
        </w:rPr>
      </w:pPr>
    </w:p>
    <w:p>
      <w:pPr>
        <w:pStyle w:val="Di default"/>
        <w:bidi w:val="0"/>
        <w:spacing w:before="0" w:after="384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Modalit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di Erogazione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Attivazione del servizio su base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annuale o pluriennale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Interazioni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</w:rPr>
        <w:t>illimitate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via email, telefono e call su appuntamento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Documentazione operativa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e report di avanzamento su richiesta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b w:val="0"/>
          <w:bCs w:val="0"/>
          <w:sz w:val="24"/>
          <w:szCs w:val="24"/>
          <w:shd w:val="clear" w:color="auto" w:fill="fcfcfc"/>
          <w:rtl w:val="0"/>
          <w:lang w:val="it-IT"/>
        </w:rPr>
        <w:t>Verifica periodica dell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cfcfc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avanzamento rispetto agli adempimenti CAD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4f4f4"/>
          <w:rtl w:val="0"/>
        </w:rPr>
      </w:pPr>
    </w:p>
    <w:p>
      <w:pPr>
        <w:pStyle w:val="Di default"/>
        <w:bidi w:val="0"/>
        <w:spacing w:before="0" w:after="384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Output del Servizio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RTD formato e supportato operativamente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Organizzazione allineata al CAD e aggiornata sui temi della transizione digitale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Aumento della qualit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>à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, sicurezza e accessibilit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dei servizi digitali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</w:rPr>
        <w:t>Conformit</w:t>
      </w:r>
      <w:r>
        <w:rPr>
          <w:rFonts w:ascii="Times New Roman" w:hAnsi="Times New Roman" w:hint="default"/>
          <w:sz w:val="24"/>
          <w:szCs w:val="24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agli obblighi normativi, riduzione del rischio sanzionatorio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4f4f4"/>
          <w:rtl w:val="0"/>
        </w:rPr>
      </w:pPr>
    </w:p>
    <w:p>
      <w:pPr>
        <w:pStyle w:val="Di default"/>
        <w:bidi w:val="0"/>
        <w:spacing w:before="0" w:after="384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cfcfc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cfcfc"/>
          <w:rtl w:val="0"/>
          <w:lang w:val="it-IT"/>
        </w:rPr>
        <w:t>Destinatari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Pubbliche Amministrazioni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Enti locali e istituzionali</w:t>
      </w:r>
    </w:p>
    <w:p>
      <w:pPr>
        <w:pStyle w:val="Di default"/>
        <w:numPr>
          <w:ilvl w:val="0"/>
          <w:numId w:val="3"/>
        </w:numPr>
        <w:bidi w:val="0"/>
        <w:spacing w:before="0" w:after="595" w:line="240" w:lineRule="auto"/>
        <w:ind w:right="0"/>
        <w:jc w:val="left"/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cfcfc"/>
          <w:rtl w:val="0"/>
          <w:lang w:val="it-IT"/>
        </w:rPr>
        <w:t>Organizzazioni soggette agli obblighi del CAD</w:t>
      </w:r>
    </w:p>
    <w:p>
      <w:pPr>
        <w:pStyle w:val="Di default"/>
        <w:tabs>
          <w:tab w:val="left" w:pos="220"/>
          <w:tab w:val="left" w:pos="720"/>
        </w:tabs>
        <w:bidi w:val="0"/>
        <w:spacing w:before="0" w:after="595" w:line="240" w:lineRule="auto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cfcfc"/>
          <w:rtl w:val="0"/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metodo OLTRECODE</w:t>
      </w:r>
    </w:p>
    <w:p>
      <w:pPr>
        <w:pStyle w:val="Di default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nostro approccio,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OLTRECODE</w:t>
      </w:r>
      <w:r>
        <w:rPr>
          <w:rFonts w:ascii="Times New Roman" w:hAnsi="Times New Roman"/>
          <w:sz w:val="24"/>
          <w:szCs w:val="24"/>
          <w:rtl w:val="0"/>
          <w:lang w:val="it-IT"/>
        </w:rPr>
        <w:t>, non si limita a fornire consulenza normativa standard.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Significa instaurare con il cliente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un contatto costante, diretto e operativo</w:t>
      </w:r>
      <w:r>
        <w:rPr>
          <w:rFonts w:ascii="Times New Roman" w:hAnsi="Times New Roman"/>
          <w:sz w:val="24"/>
          <w:szCs w:val="24"/>
          <w:rtl w:val="0"/>
          <w:lang w:val="it-IT"/>
        </w:rPr>
        <w:t>, evitando i formalismi e le rigidit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tipiche della consulenza tradizionale.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Attraverso il metodo OLTRECODE, offriamo:</w:t>
      </w:r>
    </w:p>
    <w:p>
      <w:pPr>
        <w:pStyle w:val="Di 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disponibilit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continua,</w:t>
      </w:r>
    </w:p>
    <w:p>
      <w:pPr>
        <w:pStyle w:val="Di 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linguaggio chiaro e pragmatico,</w:t>
      </w:r>
    </w:p>
    <w:p>
      <w:pPr>
        <w:pStyle w:val="Di 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soluzioni cucite sulle esigenze reali dell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ente,</w:t>
      </w:r>
    </w:p>
    <w:p>
      <w:pPr>
        <w:pStyle w:val="Di default"/>
        <w:numPr>
          <w:ilvl w:val="0"/>
          <w:numId w:val="4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affiancamento che evolve con le sfide digitali quotidiane.</w:t>
      </w:r>
    </w:p>
    <w:p>
      <w:pPr>
        <w:pStyle w:val="Di default"/>
        <w:tabs>
          <w:tab w:val="left" w:pos="220"/>
          <w:tab w:val="left" w:pos="720"/>
        </w:tabs>
        <w:bidi w:val="0"/>
        <w:spacing w:before="0" w:after="240" w:line="240" w:lineRule="auto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hd w:val="clear" w:color="auto" w:fill="fcfcfc"/>
          <w:rtl w:val="0"/>
          <w:lang w:val="it-IT"/>
        </w:rPr>
        <w:t>Affidate a Marco La Diega srl il supporto tecnico-giuridico al vostro RTD per affrontare con competenza e serenit</w:t>
      </w:r>
      <w:r>
        <w:rPr>
          <w:rFonts w:ascii="Times New Roman" w:hAnsi="Times New Roman" w:hint="default"/>
          <w:b w:val="1"/>
          <w:bCs w:val="1"/>
          <w:shd w:val="clear" w:color="auto" w:fill="fcfcfc"/>
          <w:rtl w:val="0"/>
        </w:rPr>
        <w:t xml:space="preserve">à </w:t>
      </w:r>
      <w:r>
        <w:rPr>
          <w:rFonts w:ascii="Times New Roman" w:hAnsi="Times New Roman"/>
          <w:b w:val="1"/>
          <w:bCs w:val="1"/>
          <w:shd w:val="clear" w:color="auto" w:fill="fcfcfc"/>
          <w:rtl w:val="0"/>
          <w:lang w:val="it-IT"/>
        </w:rPr>
        <w:t>la sfida della transizione al digitale. Contattateci per maggiori informazioni: supporto@marcoladiega.it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47" w:hanging="40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67" w:hanging="40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87" w:hanging="40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07" w:hanging="40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27" w:hanging="40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47" w:hanging="40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67" w:hanging="40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87" w:hanging="40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3a6d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8" w:hanging="50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8" w:hanging="50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8" w:hanging="50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8" w:hanging="50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8" w:hanging="50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8" w:hanging="50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8" w:hanging="50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8" w:hanging="508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